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287D" w14:textId="77777777"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Załącznik Nr 3</w:t>
      </w:r>
    </w:p>
    <w:p w14:paraId="2E580952" w14:textId="77777777"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do Zasad funkcjonowania</w:t>
      </w:r>
    </w:p>
    <w:p w14:paraId="026A5454" w14:textId="77777777"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kontroli zarządczej</w:t>
      </w:r>
    </w:p>
    <w:p w14:paraId="4431BD35" w14:textId="77777777" w:rsidR="00D96F55" w:rsidRDefault="008B7BA7">
      <w:pPr>
        <w:pStyle w:val="Standard"/>
        <w:ind w:right="49"/>
      </w:pPr>
      <w:r>
        <w:rPr>
          <w:rFonts w:cs="Arial"/>
          <w:sz w:val="24"/>
          <w:szCs w:val="24"/>
        </w:rPr>
        <w:t>w Mieście Kaliszu</w:t>
      </w:r>
    </w:p>
    <w:p w14:paraId="433477EB" w14:textId="77777777" w:rsidR="00D96F55" w:rsidRDefault="00D96F55">
      <w:pPr>
        <w:pStyle w:val="Standard"/>
        <w:jc w:val="center"/>
        <w:rPr>
          <w:rFonts w:cs="Arial"/>
          <w:b/>
          <w:bCs/>
          <w:sz w:val="24"/>
          <w:szCs w:val="24"/>
        </w:rPr>
      </w:pPr>
    </w:p>
    <w:p w14:paraId="4EE93ECC" w14:textId="77777777" w:rsidR="00D96F55" w:rsidRDefault="008B7BA7">
      <w:pPr>
        <w:pStyle w:val="Nagwek10"/>
        <w:spacing w:before="0" w:after="0"/>
      </w:pPr>
      <w:r>
        <w:rPr>
          <w:rFonts w:cs="Arial"/>
          <w:b/>
          <w:sz w:val="36"/>
          <w:szCs w:val="36"/>
        </w:rPr>
        <w:t>Oświadczenie o stanie kontroli zarządczej</w:t>
      </w:r>
    </w:p>
    <w:p w14:paraId="651AFC70" w14:textId="77777777" w:rsidR="006538D2" w:rsidRPr="006538D2" w:rsidRDefault="008B7BA7" w:rsidP="006538D2">
      <w:pPr>
        <w:pStyle w:val="Nagwek1"/>
        <w:spacing w:before="0" w:after="0"/>
      </w:pPr>
      <w:r w:rsidRPr="006538D2">
        <w:rPr>
          <w:rFonts w:ascii="Arial" w:hAnsi="Arial" w:cs="Arial"/>
          <w:sz w:val="36"/>
          <w:szCs w:val="36"/>
        </w:rPr>
        <w:t xml:space="preserve">w Poradni Psychologiczno – Pedagogicznej </w:t>
      </w:r>
      <w:r w:rsidR="006538D2">
        <w:rPr>
          <w:rFonts w:ascii="Arial" w:hAnsi="Arial" w:cs="Arial"/>
          <w:sz w:val="36"/>
          <w:szCs w:val="36"/>
        </w:rPr>
        <w:t>n</w:t>
      </w:r>
      <w:r w:rsidRPr="006538D2">
        <w:rPr>
          <w:rFonts w:ascii="Arial" w:hAnsi="Arial" w:cs="Arial"/>
          <w:sz w:val="36"/>
          <w:szCs w:val="36"/>
        </w:rPr>
        <w:t xml:space="preserve">r 1 w Kaliszu </w:t>
      </w:r>
    </w:p>
    <w:p w14:paraId="575336D8" w14:textId="77777777" w:rsidR="006538D2" w:rsidRPr="006538D2" w:rsidRDefault="008B7BA7">
      <w:pPr>
        <w:pStyle w:val="Nagwek1"/>
        <w:spacing w:before="0" w:after="0"/>
      </w:pPr>
      <w:r>
        <w:rPr>
          <w:rFonts w:ascii="Arial" w:hAnsi="Arial" w:cs="Arial"/>
          <w:sz w:val="36"/>
          <w:szCs w:val="36"/>
        </w:rPr>
        <w:t xml:space="preserve">(nazwa komórki organizacyjnej Urzędu Miasta Kalisza / </w:t>
      </w:r>
    </w:p>
    <w:p w14:paraId="2E6BD45C" w14:textId="73681401" w:rsidR="00D96F55" w:rsidRDefault="008B7BA7">
      <w:pPr>
        <w:pStyle w:val="Nagwek1"/>
        <w:spacing w:before="0" w:after="0"/>
      </w:pPr>
      <w:r>
        <w:rPr>
          <w:rFonts w:ascii="Arial" w:hAnsi="Arial" w:cs="Arial"/>
          <w:sz w:val="36"/>
          <w:szCs w:val="36"/>
        </w:rPr>
        <w:t>jednostki organizacyjnej Miasta Kalisza) za rok 202</w:t>
      </w:r>
      <w:r w:rsidR="009C18E2">
        <w:rPr>
          <w:rFonts w:ascii="Arial" w:hAnsi="Arial" w:cs="Arial"/>
          <w:sz w:val="36"/>
          <w:szCs w:val="36"/>
        </w:rPr>
        <w:t>3</w:t>
      </w:r>
    </w:p>
    <w:p w14:paraId="79BEA9BB" w14:textId="77777777" w:rsidR="00D96F55" w:rsidRDefault="008B7BA7">
      <w:pPr>
        <w:pStyle w:val="Nagwek2"/>
      </w:pPr>
      <w:r>
        <w:rPr>
          <w:rFonts w:ascii="Arial" w:hAnsi="Arial" w:cs="Arial"/>
          <w:i w:val="0"/>
          <w:sz w:val="32"/>
          <w:szCs w:val="32"/>
        </w:rPr>
        <w:t>CZĘŚĆ I</w:t>
      </w:r>
      <w:r>
        <w:rPr>
          <w:rFonts w:ascii="Arial" w:hAnsi="Arial" w:cs="Arial"/>
        </w:rPr>
        <w:tab/>
      </w:r>
    </w:p>
    <w:p w14:paraId="228262BF" w14:textId="77777777" w:rsidR="00D96F55" w:rsidRDefault="008B7BA7">
      <w:pPr>
        <w:pStyle w:val="Standard"/>
      </w:pPr>
      <w:r>
        <w:rPr>
          <w:rFonts w:cs="Arial"/>
          <w:sz w:val="28"/>
          <w:szCs w:val="28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7F12FDF1" w14:textId="77777777"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zgodności działalności z przepisami prawa oraz procedurami wewnętrznymi,</w:t>
      </w:r>
    </w:p>
    <w:p w14:paraId="16A50E79" w14:textId="77777777"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skuteczności i efektywności działania,</w:t>
      </w:r>
    </w:p>
    <w:p w14:paraId="5528FE9D" w14:textId="77777777"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wiarygodności sprawozdań,</w:t>
      </w:r>
    </w:p>
    <w:p w14:paraId="20BCB1E4" w14:textId="77777777"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ochrony zasobów,</w:t>
      </w:r>
    </w:p>
    <w:p w14:paraId="02013E0A" w14:textId="77777777"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przestrzegania i promowania zasad etycznego postępowania,</w:t>
      </w:r>
    </w:p>
    <w:p w14:paraId="04B5C0AE" w14:textId="77777777"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efektywności i skuteczności przepływu informacji,</w:t>
      </w:r>
    </w:p>
    <w:p w14:paraId="4BAD8BC9" w14:textId="77777777" w:rsidR="00D96F55" w:rsidRDefault="008B7BA7">
      <w:pPr>
        <w:pStyle w:val="Standard"/>
        <w:numPr>
          <w:ilvl w:val="0"/>
          <w:numId w:val="5"/>
        </w:numPr>
        <w:tabs>
          <w:tab w:val="clear" w:pos="0"/>
          <w:tab w:val="left" w:pos="-11"/>
        </w:tabs>
        <w:ind w:left="426"/>
      </w:pPr>
      <w:r>
        <w:rPr>
          <w:rFonts w:cs="Arial"/>
          <w:sz w:val="24"/>
          <w:szCs w:val="24"/>
        </w:rPr>
        <w:t>zarządzania ryzykiem,</w:t>
      </w:r>
    </w:p>
    <w:p w14:paraId="5BD86DCF" w14:textId="77777777" w:rsidR="00D96F55" w:rsidRDefault="00D96F55">
      <w:pPr>
        <w:pStyle w:val="Standard"/>
        <w:tabs>
          <w:tab w:val="left" w:pos="1135"/>
        </w:tabs>
        <w:ind w:left="425"/>
        <w:rPr>
          <w:rFonts w:cs="Arial"/>
          <w:sz w:val="28"/>
          <w:szCs w:val="28"/>
        </w:rPr>
      </w:pPr>
    </w:p>
    <w:p w14:paraId="18F979EA" w14:textId="77777777" w:rsidR="00D96F55" w:rsidRDefault="008B7BA7">
      <w:pPr>
        <w:pStyle w:val="Standard"/>
      </w:pPr>
      <w:r>
        <w:rPr>
          <w:rFonts w:cs="Arial"/>
          <w:sz w:val="28"/>
          <w:szCs w:val="28"/>
        </w:rPr>
        <w:t xml:space="preserve">oświadczam, że w kierowanej przeze mnie </w:t>
      </w:r>
      <w:r>
        <w:rPr>
          <w:rFonts w:cs="Arial"/>
          <w:strike/>
          <w:sz w:val="28"/>
          <w:szCs w:val="28"/>
        </w:rPr>
        <w:t>komórce organizacyjnej Urzędu Miasta Kalisza</w:t>
      </w:r>
      <w:r>
        <w:rPr>
          <w:rFonts w:cs="Arial"/>
          <w:sz w:val="28"/>
          <w:szCs w:val="28"/>
        </w:rPr>
        <w:t xml:space="preserve"> / jednostce organizacyjnej Miasta Kalisza:*</w:t>
      </w:r>
    </w:p>
    <w:p w14:paraId="35C6C613" w14:textId="77777777" w:rsidR="00D96F55" w:rsidRDefault="008B7BA7">
      <w:pPr>
        <w:pStyle w:val="Standard"/>
        <w:numPr>
          <w:ilvl w:val="0"/>
          <w:numId w:val="2"/>
        </w:numPr>
        <w:tabs>
          <w:tab w:val="left" w:pos="-294"/>
        </w:tabs>
        <w:ind w:left="426"/>
      </w:pPr>
      <w:r>
        <w:rPr>
          <w:rFonts w:cs="Arial"/>
          <w:sz w:val="24"/>
          <w:szCs w:val="24"/>
        </w:rPr>
        <w:t>w wystarczającym stopniu funkcjonowała adekwatna, skuteczna i efektywna kontrola zarządcza</w:t>
      </w:r>
    </w:p>
    <w:p w14:paraId="25A985FE" w14:textId="77777777" w:rsidR="00D96F55" w:rsidRDefault="008B7BA7">
      <w:pPr>
        <w:pStyle w:val="Standard"/>
        <w:numPr>
          <w:ilvl w:val="0"/>
          <w:numId w:val="2"/>
        </w:numPr>
        <w:tabs>
          <w:tab w:val="left" w:pos="-294"/>
        </w:tabs>
        <w:ind w:left="426"/>
      </w:pPr>
      <w:r>
        <w:rPr>
          <w:rFonts w:cs="Arial"/>
          <w:strike/>
          <w:sz w:val="24"/>
          <w:szCs w:val="24"/>
        </w:rPr>
        <w:t>w ograniczonym stopniu funkcjonowała adekwatna, skuteczna i efektywna kontrola zarządcza.</w:t>
      </w:r>
    </w:p>
    <w:p w14:paraId="738638DD" w14:textId="77777777" w:rsidR="00D96F55" w:rsidRDefault="008B7BA7">
      <w:pPr>
        <w:pStyle w:val="Standard"/>
        <w:numPr>
          <w:ilvl w:val="0"/>
          <w:numId w:val="2"/>
        </w:numPr>
        <w:tabs>
          <w:tab w:val="left" w:pos="-294"/>
        </w:tabs>
        <w:ind w:left="426"/>
      </w:pPr>
      <w:r>
        <w:rPr>
          <w:rFonts w:cs="Arial"/>
          <w:strike/>
          <w:sz w:val="24"/>
          <w:szCs w:val="24"/>
        </w:rPr>
        <w:t>nie funkcjonowała adekwatna, skuteczna i efektywna kontrola zarządcza.</w:t>
      </w:r>
    </w:p>
    <w:p w14:paraId="7F405D15" w14:textId="77777777" w:rsidR="00D96F55" w:rsidRDefault="00D96F55">
      <w:pPr>
        <w:pStyle w:val="Standard"/>
        <w:tabs>
          <w:tab w:val="left" w:pos="426"/>
        </w:tabs>
        <w:rPr>
          <w:rFonts w:cs="Arial"/>
          <w:strike/>
          <w:sz w:val="28"/>
          <w:szCs w:val="28"/>
        </w:rPr>
      </w:pPr>
    </w:p>
    <w:p w14:paraId="633FF6EC" w14:textId="77777777" w:rsidR="00D96F55" w:rsidRDefault="008B7BA7">
      <w:pPr>
        <w:pStyle w:val="Standard"/>
      </w:pPr>
      <w:r>
        <w:rPr>
          <w:rFonts w:cs="Arial"/>
          <w:sz w:val="28"/>
          <w:szCs w:val="28"/>
        </w:rPr>
        <w:t>Niniejsze oświadczenie opiera się na mojej ocenie i informacjach dostępnych w czasie sporządzania niniejszego oświadczenia pochodzących z:*</w:t>
      </w:r>
    </w:p>
    <w:p w14:paraId="27F0A529" w14:textId="77777777"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monitoringu realizacji celów i zadań,</w:t>
      </w:r>
    </w:p>
    <w:p w14:paraId="55FCDF2C" w14:textId="77777777"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samooceny kontroli zarządczej przeprowadzonej z uwzględnieniem standardów kontroli zarządczej dla sektora finansów publicznych,</w:t>
      </w:r>
    </w:p>
    <w:p w14:paraId="610A8D8C" w14:textId="77777777"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procesu zarządzania ryzykiem,</w:t>
      </w:r>
    </w:p>
    <w:p w14:paraId="6CE529A5" w14:textId="77777777"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audytu wewnętrznego (</w:t>
      </w:r>
      <w:r>
        <w:rPr>
          <w:rFonts w:cs="Arial"/>
          <w:iCs/>
          <w:sz w:val="24"/>
          <w:szCs w:val="24"/>
        </w:rPr>
        <w:t>należy wskazać przedmiot audytu</w:t>
      </w:r>
      <w:r>
        <w:rPr>
          <w:rFonts w:cs="Arial"/>
          <w:sz w:val="24"/>
          <w:szCs w:val="24"/>
        </w:rPr>
        <w:t>):</w:t>
      </w:r>
    </w:p>
    <w:p w14:paraId="2E7B8D76" w14:textId="3D3AF502" w:rsidR="00D96F55" w:rsidRDefault="008B7BA7">
      <w:pPr>
        <w:pStyle w:val="Standard"/>
        <w:numPr>
          <w:ilvl w:val="0"/>
          <w:numId w:val="8"/>
        </w:numPr>
        <w:tabs>
          <w:tab w:val="left" w:pos="132"/>
        </w:tabs>
        <w:ind w:left="851"/>
      </w:pPr>
      <w:r>
        <w:rPr>
          <w:rFonts w:cs="Arial"/>
          <w:sz w:val="24"/>
          <w:szCs w:val="24"/>
        </w:rPr>
        <w:t xml:space="preserve">„Ocena funkcjonowania kontroli zarządczej na I </w:t>
      </w:r>
      <w:proofErr w:type="spellStart"/>
      <w:r>
        <w:rPr>
          <w:rFonts w:cs="Arial"/>
          <w:sz w:val="24"/>
          <w:szCs w:val="24"/>
        </w:rPr>
        <w:t>i</w:t>
      </w:r>
      <w:proofErr w:type="spellEnd"/>
      <w:r>
        <w:rPr>
          <w:rFonts w:cs="Arial"/>
          <w:sz w:val="24"/>
          <w:szCs w:val="24"/>
        </w:rPr>
        <w:t xml:space="preserve"> II poziomie” - za 202</w:t>
      </w:r>
      <w:r w:rsidR="009C18E2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rok,</w:t>
      </w:r>
    </w:p>
    <w:p w14:paraId="54EEBEB5" w14:textId="77777777" w:rsidR="00D96F55" w:rsidRDefault="008B7BA7">
      <w:pPr>
        <w:pStyle w:val="Standard"/>
        <w:numPr>
          <w:ilvl w:val="0"/>
          <w:numId w:val="8"/>
        </w:numPr>
        <w:tabs>
          <w:tab w:val="left" w:pos="132"/>
        </w:tabs>
        <w:ind w:left="851"/>
      </w:pPr>
      <w:r>
        <w:rPr>
          <w:rFonts w:cs="Arial"/>
          <w:sz w:val="24"/>
          <w:szCs w:val="24"/>
        </w:rPr>
        <w:t xml:space="preserve">„Bezpieczeństwo informacji, ochrona danych osobowych w Urzędzie oraz w jednostkach organizacyjnych Miasta Kalisza”, </w:t>
      </w:r>
    </w:p>
    <w:p w14:paraId="66171399" w14:textId="77777777"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kontroli wewnętrznych (</w:t>
      </w:r>
      <w:r>
        <w:rPr>
          <w:rFonts w:cs="Arial"/>
          <w:iCs/>
          <w:sz w:val="24"/>
          <w:szCs w:val="24"/>
        </w:rPr>
        <w:t>należy wskazać przedmiot kontroli)</w:t>
      </w:r>
      <w:r>
        <w:rPr>
          <w:rFonts w:cs="Arial"/>
          <w:sz w:val="24"/>
          <w:szCs w:val="24"/>
        </w:rPr>
        <w:t>:</w:t>
      </w:r>
    </w:p>
    <w:p w14:paraId="1E57B95D" w14:textId="77777777" w:rsidR="00D96F55" w:rsidRDefault="008B7BA7">
      <w:pPr>
        <w:pStyle w:val="Nagwek1"/>
        <w:numPr>
          <w:ilvl w:val="0"/>
          <w:numId w:val="6"/>
        </w:numPr>
        <w:spacing w:before="0" w:after="0"/>
        <w:ind w:left="714" w:hanging="357"/>
      </w:pPr>
      <w:r>
        <w:rPr>
          <w:rFonts w:ascii="Arial" w:hAnsi="Arial" w:cs="Arial"/>
          <w:b w:val="0"/>
          <w:sz w:val="24"/>
          <w:szCs w:val="24"/>
        </w:rPr>
        <w:t>Kontrola kasy</w:t>
      </w:r>
    </w:p>
    <w:p w14:paraId="266EE407" w14:textId="191F9FAE" w:rsidR="00D96F55" w:rsidRPr="009C18E2" w:rsidRDefault="008B7BA7">
      <w:pPr>
        <w:pStyle w:val="Standard"/>
        <w:numPr>
          <w:ilvl w:val="0"/>
          <w:numId w:val="6"/>
        </w:numPr>
        <w:tabs>
          <w:tab w:val="left" w:pos="132"/>
        </w:tabs>
        <w:rPr>
          <w:sz w:val="24"/>
          <w:szCs w:val="24"/>
        </w:rPr>
      </w:pPr>
      <w:r w:rsidRPr="009C18E2">
        <w:rPr>
          <w:rFonts w:cs="Arial"/>
          <w:sz w:val="24"/>
          <w:szCs w:val="24"/>
        </w:rPr>
        <w:t>Kontrola w zakresie wydatków na usługi pocztowe</w:t>
      </w:r>
    </w:p>
    <w:p w14:paraId="38F7E52C" w14:textId="0CF90227" w:rsidR="009C18E2" w:rsidRPr="009C18E2" w:rsidRDefault="009C18E2">
      <w:pPr>
        <w:pStyle w:val="Standard"/>
        <w:numPr>
          <w:ilvl w:val="0"/>
          <w:numId w:val="6"/>
        </w:numPr>
        <w:tabs>
          <w:tab w:val="left" w:pos="132"/>
        </w:tabs>
        <w:rPr>
          <w:sz w:val="24"/>
          <w:szCs w:val="24"/>
        </w:rPr>
      </w:pPr>
      <w:r w:rsidRPr="009C18E2">
        <w:rPr>
          <w:sz w:val="24"/>
          <w:szCs w:val="24"/>
        </w:rPr>
        <w:t>Kontrola w zakresie sprawowanego nadzoru pedagogicznego</w:t>
      </w:r>
    </w:p>
    <w:p w14:paraId="072E9FB6" w14:textId="77777777"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>kontroli zewnętrznych</w:t>
      </w:r>
      <w:r>
        <w:rPr>
          <w:rFonts w:cs="Arial"/>
          <w:strike/>
          <w:sz w:val="24"/>
          <w:szCs w:val="24"/>
        </w:rPr>
        <w:t xml:space="preserve"> (</w:t>
      </w:r>
      <w:r>
        <w:rPr>
          <w:rFonts w:cs="Arial"/>
          <w:iCs/>
          <w:strike/>
          <w:sz w:val="24"/>
          <w:szCs w:val="24"/>
        </w:rPr>
        <w:t>należy wskazać podmiot kontrolujący i przedmiot kontroli</w:t>
      </w:r>
      <w:r>
        <w:rPr>
          <w:rFonts w:cs="Arial"/>
          <w:strike/>
          <w:sz w:val="24"/>
          <w:szCs w:val="24"/>
        </w:rPr>
        <w:t>);</w:t>
      </w:r>
    </w:p>
    <w:p w14:paraId="22B1C151" w14:textId="77777777" w:rsidR="00D96F55" w:rsidRDefault="008B7BA7">
      <w:pPr>
        <w:pStyle w:val="Standard"/>
        <w:numPr>
          <w:ilvl w:val="0"/>
          <w:numId w:val="7"/>
        </w:numPr>
        <w:tabs>
          <w:tab w:val="left" w:pos="132"/>
        </w:tabs>
      </w:pPr>
      <w:r>
        <w:rPr>
          <w:rFonts w:cs="Arial"/>
          <w:sz w:val="24"/>
          <w:szCs w:val="24"/>
        </w:rPr>
        <w:t xml:space="preserve">innych źródeł informacji: </w:t>
      </w:r>
    </w:p>
    <w:p w14:paraId="1851FCBF" w14:textId="7BBF2DB3" w:rsidR="00D96F55" w:rsidRPr="009C18E2" w:rsidRDefault="008B7BA7">
      <w:pPr>
        <w:pStyle w:val="Standard"/>
        <w:numPr>
          <w:ilvl w:val="0"/>
          <w:numId w:val="4"/>
        </w:numPr>
        <w:tabs>
          <w:tab w:val="left" w:pos="132"/>
        </w:tabs>
        <w:ind w:left="709"/>
      </w:pPr>
      <w:r>
        <w:rPr>
          <w:rFonts w:cs="Arial"/>
          <w:sz w:val="24"/>
          <w:szCs w:val="24"/>
        </w:rPr>
        <w:lastRenderedPageBreak/>
        <w:t>Rejestr Skarg i wniosków</w:t>
      </w:r>
    </w:p>
    <w:p w14:paraId="7049343F" w14:textId="4448F064" w:rsidR="009C18E2" w:rsidRDefault="009C18E2">
      <w:pPr>
        <w:pStyle w:val="Standard"/>
        <w:numPr>
          <w:ilvl w:val="0"/>
          <w:numId w:val="4"/>
        </w:numPr>
        <w:tabs>
          <w:tab w:val="left" w:pos="132"/>
        </w:tabs>
        <w:ind w:left="709"/>
      </w:pPr>
      <w:r>
        <w:rPr>
          <w:rFonts w:cs="Arial"/>
          <w:sz w:val="24"/>
          <w:szCs w:val="24"/>
        </w:rPr>
        <w:t>Roczne sprawozdanie z realizacji planu działalności Poradni Psychologiczno – Pedagogicznej nr 1 w Kaliszu za 2023 r.</w:t>
      </w:r>
    </w:p>
    <w:p w14:paraId="1C59E755" w14:textId="77777777" w:rsidR="00D96F55" w:rsidRDefault="008B7BA7">
      <w:pPr>
        <w:pStyle w:val="Standard"/>
        <w:spacing w:before="240"/>
      </w:pPr>
      <w:r>
        <w:rPr>
          <w:rFonts w:cs="Arial"/>
          <w:sz w:val="28"/>
          <w:szCs w:val="28"/>
        </w:rPr>
        <w:t>Jednocześnie oświadczam, że nie są mi znane inne fakty lub okoliczności, które mogłyby wpłynąć na treść niniejszego oświadczenia.</w:t>
      </w:r>
    </w:p>
    <w:p w14:paraId="400C6758" w14:textId="72E3940A" w:rsidR="00D96F55" w:rsidRDefault="008B7BA7">
      <w:pPr>
        <w:pStyle w:val="Standard"/>
        <w:tabs>
          <w:tab w:val="right" w:pos="8804"/>
        </w:tabs>
        <w:spacing w:before="240"/>
      </w:pPr>
      <w:r>
        <w:rPr>
          <w:rFonts w:cs="Arial"/>
          <w:sz w:val="28"/>
          <w:szCs w:val="28"/>
        </w:rPr>
        <w:t>Kalisz, 26.01.202</w:t>
      </w:r>
      <w:r w:rsidR="009C18E2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r.</w:t>
      </w:r>
      <w:r>
        <w:rPr>
          <w:rFonts w:cs="Arial"/>
          <w:sz w:val="28"/>
          <w:szCs w:val="28"/>
        </w:rPr>
        <w:tab/>
      </w:r>
    </w:p>
    <w:p w14:paraId="36E56F0A" w14:textId="77777777" w:rsidR="006538D2" w:rsidRDefault="008B7BA7" w:rsidP="006538D2">
      <w:pPr>
        <w:pStyle w:val="Standard"/>
        <w:tabs>
          <w:tab w:val="right" w:pos="8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(miejscowość, data)</w:t>
      </w:r>
    </w:p>
    <w:p w14:paraId="1AE1A4D5" w14:textId="77777777" w:rsidR="00D96F55" w:rsidRDefault="006538D2" w:rsidP="006538D2">
      <w:pPr>
        <w:pStyle w:val="Standard"/>
        <w:tabs>
          <w:tab w:val="right" w:pos="8804"/>
        </w:tabs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14:paraId="28931C08" w14:textId="2A8CB701" w:rsidR="00D96F55" w:rsidRDefault="009C18E2">
      <w:pPr>
        <w:pStyle w:val="Standard"/>
        <w:tabs>
          <w:tab w:val="left" w:pos="2698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Katarzyna Pakuła – Sobczak</w:t>
      </w:r>
    </w:p>
    <w:p w14:paraId="5E833608" w14:textId="04B05525" w:rsidR="009C18E2" w:rsidRPr="009C18E2" w:rsidRDefault="009C18E2">
      <w:pPr>
        <w:pStyle w:val="Standard"/>
        <w:tabs>
          <w:tab w:val="left" w:pos="2698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dyrektor</w:t>
      </w:r>
    </w:p>
    <w:p w14:paraId="2EA72D48" w14:textId="77777777" w:rsidR="00D96F55" w:rsidRDefault="008B7BA7">
      <w:pPr>
        <w:pStyle w:val="Standard"/>
        <w:tabs>
          <w:tab w:val="left" w:pos="2698"/>
        </w:tabs>
        <w:jc w:val="both"/>
      </w:pPr>
      <w:r>
        <w:rPr>
          <w:rFonts w:cs="Arial"/>
          <w:sz w:val="24"/>
          <w:szCs w:val="24"/>
        </w:rPr>
        <w:t>(podpis składającego oświadczenie)</w:t>
      </w:r>
    </w:p>
    <w:p w14:paraId="5E80FCD8" w14:textId="77777777" w:rsidR="00D96F55" w:rsidRDefault="00D96F55">
      <w:pPr>
        <w:pStyle w:val="Standard"/>
        <w:tabs>
          <w:tab w:val="left" w:pos="2698"/>
        </w:tabs>
        <w:jc w:val="both"/>
        <w:rPr>
          <w:rFonts w:cs="Arial"/>
          <w:b/>
          <w:bCs/>
          <w:iCs/>
          <w:sz w:val="24"/>
          <w:szCs w:val="24"/>
        </w:rPr>
      </w:pPr>
    </w:p>
    <w:p w14:paraId="1570D492" w14:textId="77777777" w:rsidR="00D96F55" w:rsidRDefault="008B7BA7">
      <w:pPr>
        <w:pStyle w:val="Standard"/>
        <w:tabs>
          <w:tab w:val="left" w:pos="2698"/>
        </w:tabs>
        <w:jc w:val="both"/>
      </w:pPr>
      <w:r>
        <w:rPr>
          <w:rFonts w:cs="Arial"/>
          <w:iCs/>
          <w:sz w:val="24"/>
          <w:szCs w:val="24"/>
        </w:rPr>
        <w:t>* niepotrzebne skreślić</w:t>
      </w:r>
    </w:p>
    <w:p w14:paraId="2497A04F" w14:textId="77777777" w:rsidR="00D96F55" w:rsidRDefault="008B7BA7">
      <w:pPr>
        <w:pStyle w:val="Nagwek2"/>
      </w:pPr>
      <w:r>
        <w:rPr>
          <w:rFonts w:ascii="Arial" w:hAnsi="Arial" w:cs="Arial"/>
          <w:i w:val="0"/>
          <w:sz w:val="32"/>
          <w:szCs w:val="32"/>
        </w:rPr>
        <w:t>CZĘŚĆ II</w:t>
      </w:r>
    </w:p>
    <w:p w14:paraId="67EDC42C" w14:textId="77777777" w:rsidR="00D96F55" w:rsidRDefault="00D96F55">
      <w:pPr>
        <w:pStyle w:val="Standard"/>
        <w:tabs>
          <w:tab w:val="left" w:pos="566"/>
        </w:tabs>
        <w:ind w:left="283" w:hanging="283"/>
        <w:jc w:val="center"/>
        <w:rPr>
          <w:rFonts w:cs="Arial"/>
          <w:b/>
          <w:bCs/>
          <w:i/>
          <w:sz w:val="24"/>
          <w:szCs w:val="24"/>
        </w:rPr>
      </w:pPr>
    </w:p>
    <w:p w14:paraId="278BC525" w14:textId="77777777" w:rsidR="00D96F55" w:rsidRDefault="008B7BA7">
      <w:pPr>
        <w:pStyle w:val="Standard"/>
        <w:tabs>
          <w:tab w:val="left" w:pos="566"/>
        </w:tabs>
      </w:pPr>
      <w:r>
        <w:rPr>
          <w:rFonts w:cs="Arial"/>
          <w:b/>
          <w:bCs/>
          <w:sz w:val="28"/>
          <w:szCs w:val="28"/>
        </w:rPr>
        <w:t>Zastrzeżenia dotyczące funkcjonowania kontroli zarządczej wraz z planowanymi działaniami, które zostaną podjęte w celu poprawy funkcjonowania kontroli zarządczej.</w:t>
      </w:r>
    </w:p>
    <w:p w14:paraId="3816EB44" w14:textId="77777777" w:rsidR="00D96F55" w:rsidRDefault="00D96F55">
      <w:pPr>
        <w:pStyle w:val="Standard"/>
        <w:tabs>
          <w:tab w:val="left" w:pos="566"/>
        </w:tabs>
        <w:ind w:left="283" w:hanging="283"/>
        <w:rPr>
          <w:rFonts w:cs="Arial"/>
          <w:b/>
          <w:bCs/>
          <w:sz w:val="24"/>
          <w:szCs w:val="24"/>
        </w:rPr>
      </w:pPr>
    </w:p>
    <w:p w14:paraId="624C6CD6" w14:textId="77777777" w:rsidR="00D96F55" w:rsidRDefault="008B7BA7">
      <w:pPr>
        <w:pStyle w:val="Standard"/>
        <w:tabs>
          <w:tab w:val="left" w:pos="566"/>
        </w:tabs>
        <w:ind w:left="283" w:hanging="283"/>
      </w:pPr>
      <w:r>
        <w:rPr>
          <w:rFonts w:cs="Arial"/>
          <w:iCs/>
          <w:sz w:val="24"/>
          <w:szCs w:val="24"/>
        </w:rPr>
        <w:t>(należy wypełnić jeżeli adekwatna, skuteczna i efektywna kontrola zarządcza</w:t>
      </w:r>
    </w:p>
    <w:p w14:paraId="28F8457B" w14:textId="77777777" w:rsidR="00D96F55" w:rsidRDefault="008B7BA7">
      <w:pPr>
        <w:pStyle w:val="Standard"/>
        <w:tabs>
          <w:tab w:val="left" w:pos="566"/>
        </w:tabs>
        <w:ind w:left="283" w:hanging="283"/>
      </w:pPr>
      <w:r>
        <w:rPr>
          <w:rFonts w:cs="Arial"/>
          <w:iCs/>
          <w:sz w:val="24"/>
          <w:szCs w:val="24"/>
        </w:rPr>
        <w:t>funkcjonowała w ograniczonym stopniu lub nie funkcjonowała).</w:t>
      </w:r>
    </w:p>
    <w:p w14:paraId="578E3D33" w14:textId="77777777" w:rsidR="00D96F55" w:rsidRDefault="00D96F55">
      <w:pPr>
        <w:pStyle w:val="Standard"/>
        <w:tabs>
          <w:tab w:val="left" w:pos="0"/>
        </w:tabs>
        <w:jc w:val="both"/>
        <w:rPr>
          <w:rFonts w:cs="Arial"/>
          <w:b/>
          <w:bCs/>
          <w:i/>
          <w:iCs/>
          <w:sz w:val="24"/>
          <w:szCs w:val="24"/>
        </w:rPr>
      </w:pPr>
    </w:p>
    <w:p w14:paraId="06CEAC3E" w14:textId="77777777" w:rsidR="00D96F55" w:rsidRDefault="008B7BA7">
      <w:pPr>
        <w:pStyle w:val="Standard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rPr>
          <w:rFonts w:cs="Arial"/>
          <w:b/>
          <w:bCs/>
          <w:sz w:val="24"/>
          <w:szCs w:val="24"/>
        </w:rPr>
        <w:t xml:space="preserve">Zastrzeżenia dotyczące funkcjonowania kontroli zarządczej w roku ubiegłym. </w:t>
      </w:r>
    </w:p>
    <w:p w14:paraId="41B26A6A" w14:textId="77777777" w:rsidR="00D96F55" w:rsidRDefault="008B7BA7">
      <w:pPr>
        <w:pStyle w:val="Standard"/>
        <w:numPr>
          <w:ilvl w:val="0"/>
          <w:numId w:val="4"/>
        </w:numPr>
        <w:ind w:left="426"/>
        <w:jc w:val="both"/>
      </w:pPr>
      <w:r>
        <w:rPr>
          <w:rFonts w:cs="Arial"/>
          <w:sz w:val="24"/>
          <w:szCs w:val="24"/>
        </w:rPr>
        <w:t>nie dotyczy</w:t>
      </w:r>
    </w:p>
    <w:p w14:paraId="74A93E92" w14:textId="77777777" w:rsidR="00D96F55" w:rsidRDefault="00D96F55">
      <w:pPr>
        <w:pStyle w:val="Standard"/>
        <w:ind w:left="426"/>
        <w:jc w:val="both"/>
        <w:rPr>
          <w:rFonts w:cs="Arial"/>
          <w:sz w:val="24"/>
          <w:szCs w:val="24"/>
        </w:rPr>
      </w:pPr>
    </w:p>
    <w:p w14:paraId="1BD24D9E" w14:textId="77777777" w:rsidR="00D96F55" w:rsidRDefault="008B7BA7">
      <w:pPr>
        <w:pStyle w:val="Standard"/>
      </w:pPr>
      <w:r>
        <w:rPr>
          <w:rFonts w:cs="Arial"/>
          <w:iCs/>
          <w:sz w:val="24"/>
          <w:szCs w:val="24"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6DF8737F" w14:textId="77777777" w:rsidR="00D96F55" w:rsidRDefault="00D96F55">
      <w:pPr>
        <w:pStyle w:val="Standard"/>
        <w:jc w:val="both"/>
        <w:rPr>
          <w:rFonts w:cs="Arial"/>
          <w:iCs/>
          <w:sz w:val="24"/>
          <w:szCs w:val="24"/>
        </w:rPr>
      </w:pPr>
    </w:p>
    <w:p w14:paraId="6F73CBD1" w14:textId="77777777" w:rsidR="00D96F55" w:rsidRDefault="008B7BA7">
      <w:pPr>
        <w:pStyle w:val="Standard"/>
        <w:numPr>
          <w:ilvl w:val="0"/>
          <w:numId w:val="3"/>
        </w:numPr>
        <w:ind w:left="426" w:hanging="426"/>
      </w:pPr>
      <w:r>
        <w:rPr>
          <w:rFonts w:cs="Arial"/>
          <w:b/>
          <w:bCs/>
          <w:sz w:val="24"/>
          <w:szCs w:val="24"/>
        </w:rPr>
        <w:t>Planowane działania, które zostaną podjęte w celu poprawy funkcjonowania kontroli zarządczej.</w:t>
      </w:r>
    </w:p>
    <w:p w14:paraId="485EF45B" w14:textId="77777777" w:rsidR="00D96F55" w:rsidRDefault="008B7BA7">
      <w:pPr>
        <w:pStyle w:val="Standard"/>
        <w:numPr>
          <w:ilvl w:val="0"/>
          <w:numId w:val="4"/>
        </w:numPr>
        <w:ind w:left="426"/>
        <w:jc w:val="both"/>
      </w:pPr>
      <w:r>
        <w:rPr>
          <w:rFonts w:cs="Arial"/>
          <w:sz w:val="24"/>
          <w:szCs w:val="24"/>
        </w:rPr>
        <w:t>nie dotyczy</w:t>
      </w:r>
    </w:p>
    <w:p w14:paraId="7DD12265" w14:textId="77777777" w:rsidR="00D96F55" w:rsidRDefault="00D96F55">
      <w:pPr>
        <w:pStyle w:val="Standard"/>
        <w:jc w:val="both"/>
        <w:rPr>
          <w:rFonts w:cs="Arial"/>
          <w:sz w:val="24"/>
          <w:szCs w:val="24"/>
        </w:rPr>
      </w:pPr>
    </w:p>
    <w:p w14:paraId="5B2166A4" w14:textId="77777777" w:rsidR="00D96F55" w:rsidRDefault="008B7BA7" w:rsidP="00D33BED">
      <w:pPr>
        <w:pStyle w:val="Standard"/>
        <w:rPr>
          <w:rFonts w:cs="Arial"/>
          <w:b/>
          <w:bCs/>
        </w:rPr>
      </w:pPr>
      <w:r>
        <w:rPr>
          <w:rFonts w:cs="Arial"/>
          <w:iCs/>
          <w:sz w:val="24"/>
          <w:szCs w:val="24"/>
        </w:rPr>
        <w:t>Należy opisać kluczowe działania, które zostaną podjęte w celu poprawy funkcjonowania kontroli zarządczej w odniesieniu do złożonych zastrzeżeń, wraz z podaniem terminu ich realizacji.</w:t>
      </w:r>
      <w:r w:rsidR="006538D2">
        <w:rPr>
          <w:rFonts w:cs="Arial"/>
          <w:b/>
          <w:bCs/>
        </w:rPr>
        <w:t xml:space="preserve"> </w:t>
      </w:r>
    </w:p>
    <w:sectPr w:rsidR="00D96F55">
      <w:pgSz w:w="12240" w:h="15840"/>
      <w:pgMar w:top="568" w:right="7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D2"/>
    <w:rsid w:val="006538D2"/>
    <w:rsid w:val="008B7BA7"/>
    <w:rsid w:val="009C18E2"/>
    <w:rsid w:val="00D33BED"/>
    <w:rsid w:val="00D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8493E3"/>
  <w15:chartTrackingRefBased/>
  <w15:docId w15:val="{B9DB7F3A-E48C-4CD4-8B19-BF845DAF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  <w:b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Arial"/>
      <w:strike w:val="0"/>
      <w:dstrike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Linenumbering">
    <w:name w:val="Line numbering"/>
  </w:style>
  <w:style w:type="character" w:customStyle="1" w:styleId="Nagwek1Znak">
    <w:name w:val="Nagłówek 1 Znak"/>
    <w:rPr>
      <w:rFonts w:ascii="Calibri Light" w:eastAsia="Times New Roman" w:hAnsi="Calibri Light" w:cs="Calibri Light"/>
      <w:b/>
      <w:bCs/>
      <w:kern w:val="2"/>
      <w:sz w:val="32"/>
      <w:szCs w:val="29"/>
      <w:lang w:eastAsia="zh-CN" w:bidi="hi-IN"/>
    </w:rPr>
  </w:style>
  <w:style w:type="character" w:customStyle="1" w:styleId="Nagwek2Znak">
    <w:name w:val="Nagłówek 2 Znak"/>
    <w:rPr>
      <w:rFonts w:ascii="Calibri Light" w:eastAsia="Times New Roman" w:hAnsi="Calibri Light" w:cs="Calibri Light"/>
      <w:b/>
      <w:bCs/>
      <w:i/>
      <w:iCs/>
      <w:kern w:val="2"/>
      <w:sz w:val="28"/>
      <w:szCs w:val="25"/>
      <w:lang w:eastAsia="zh-C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</w:pPr>
    <w:rPr>
      <w:rFonts w:ascii="Arial" w:hAnsi="Arial"/>
      <w:kern w:val="2"/>
      <w:lang w:eastAsia="zh-CN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dpis">
    <w:name w:val="Signature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Standardowy1">
    <w:name w:val="Standardowy1"/>
    <w:pPr>
      <w:suppressAutoHyphens/>
    </w:pPr>
    <w:rPr>
      <w:kern w:val="2"/>
      <w:lang w:eastAsia="zh-CN" w:bidi="hi-IN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Podpis"/>
    <w:rPr>
      <w:rFonts w:cs="Arial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Arial Unicode M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KTomczyk</dc:creator>
  <cp:keywords/>
  <cp:lastModifiedBy>Pakuła - Sobczak Katarzyna</cp:lastModifiedBy>
  <cp:revision>2</cp:revision>
  <cp:lastPrinted>1995-11-21T16:41:00Z</cp:lastPrinted>
  <dcterms:created xsi:type="dcterms:W3CDTF">2024-02-12T10:18:00Z</dcterms:created>
  <dcterms:modified xsi:type="dcterms:W3CDTF">2024-02-12T10:18:00Z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Agata Harbaty</vt:lpwstr>
  </property>
</Properties>
</file>